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2022/200, B 2022/201 vom 3. Februar 2023</w:t>
      </w:r>
    </w:p>
    <w:p>
      <w:r>
        <w:t>Sg Verwaltungsgericht, 2023-02-03, DE</w:t>
      </w:r>
    </w:p>
    <w:p>
      <w:r>
        <w:rPr>
          <w:b/>
        </w:rPr>
        <w:t xml:space="preserve">Quelle: </w:t>
      </w:r>
      <w:r>
        <w:t>https://mcp.opencaselaw.ch/entscheid/sg_publikationen_B 2022_200, B 2022_201</w:t>
      </w:r>
    </w:p>
    <w:p>
      <w:r>
        <w:t>FR: SG_VERWALTUNGSGERICHT B 2022/200, B 2022/201 du 3 février 2023</w:t>
      </w:r>
    </w:p>
    <w:p>
      <w:r>
        <w:t>IT: SG_VERWALTUNGSGERICHT B 2022/200, B 2022/201 del 3 febbraio 2023</w:t>
      </w:r>
    </w:p>
    <w:p>
      <w:pPr>
        <w:pStyle w:val="Heading2"/>
      </w:pPr>
      <w:r>
        <w:t>Regeste</w:t>
      </w:r>
    </w:p>
    <w:p>
      <w:r>
        <w:t>Steuerrecht, Kinderabzug bei minderjährigen Kindern, Art. 35 Abs. 1 lit. a DBG (SR 642.11), Art. 48 Abs. 1 lit. a Ziff. 2 StG (sGS 811.1). Sozialabzüge gelten als Element der Tarifgestaltung. Als solche wirken sie grobschlächtig und tragen den konkret verausgabten Mitteln bloss typisiert Rechnung. Sowohl im StG als auch im DBG ist die Gewährung des Kinderabzugs mit der Besteuerungsregelung für Kinderalimente verknüpft. Der Kinderabzug bleibt jenem Steuerpflichtigen verwehrt, der Unterhaltsbeiträge von seinen Einkünften abziehen kann (sog. Kumulationsverbot). Der durch die Bezahlung von Alimenten geschaffene Status geht vor und schliesst die Geltendmachung von Kinderabzügen aus. Abzugsberechtigt ist jener Elternteil, der den Unterhalt des minderjährigen Kindes aus eigenen (oder vom andern Elternteil beigesteuerten), steuerlich bei ihm aber nicht abziehbaren Mitteln bestreitet, d.h. der Empfänger der Kinderalimente. Auf die gemeinsame elterliche Sorge oder alternierende Obhut kommt es nicht an. Es findet eine steuersystematische Umverteilung von Ressourcen statt. Wer Unterhaltsbeiträge für Kinder leistet und diese von seinen steuerbaren Einkünften abzieht, trägt steuerlich betrachtet keine Kosten des Kinderunterhalts. Im kantonalen Steuerrecht gibt es keine gesetzliche Grundlage für eine hälftige Aufteilung des Kinderabzugs. Bei der direkten Bundessteuer ist eine solche bei gemeinsamer elterlicher Sorge nur in jenen Fällen vorgesehen, in denen keine Unterhaltsbeiträge geleistet werden (Verwaltungsgericht, B 2022/200, B 2022/201). Die gegen dieses Urteil erhobene Beschwerde ans Bundesgericht wurde mit Urteil vom 18. Oktober 2023 abgewiesen (Verfahren 9C_204/2023).</w:t>
      </w:r>
    </w:p>
    <w:p>
      <w:pPr>
        <w:pStyle w:val="Heading2"/>
      </w:pPr>
      <w:r>
        <w:t>Erwägungen</w:t>
      </w:r>
    </w:p>
    <w:p>
      <w:r>
        <w:rPr>
          <w:b/>
        </w:rPr>
        <w:t>E. 5.1</w:t>
      </w:r>
    </w:p>
    <w:p>
      <w:r>
        <w:t>Der Beschwerdegegner (Vater) ist zusammen mit der geschiedenen Ehefrau (Mutter) Inhaber der gemeinsamen elterlichen Sorge über die zwei Töchter C.__ und D.__. Die Obhut üben die Eltern zu gleichen Teilen alternierend aus. Im fraglichen Steuerjahr 2020 bezahlte der Vater der Mutter für die beiden Töchter Kinderunterhaltsbeiträge von CHF 19'158, die er in der Steuererklärung von seinen Einkünften gestützt auf Art. 45 Abs. 1 lit. c StG bzw. Art. 33 Abs. 1 lit. f DBG in Abzug brachte. Gestützt auf Art. 36 lit. f StG bzw. Art. 23 lit. f DBG sind diese Unterhaltsbeiträge von der Mutter als übrige Einkünfte zu versteuern. Dass die Unterhaltsbeiträge gemäss Angaben des Vaters an das Sozialamt geleistet wurden, welches diese bevorschusst hat, macht sie deswegen nicht zu steuerfreien Sozialhilfeleistungen; an der Steuerbarkeit der Einkünfte bei der Mutter ändert dies nichts. Das Gemeinwesen trat damit in den Unterhaltsanspruch der Mutter bzw. der Kinder dem Vater gegenüber ein (Bosshard/Bosshard/Lüdin, a.a.O., S. 146 f.; Locher, a.a.O., N 66 zu Art. 23 DBG mit Hinweisen). Die Kritik des Beschwerdegegners, die von ihm geleisteten Unterhaltsbeiträge würden nicht versteuert bzw. die Mutter könne ohne Einkünfte gar keine Kinderabzüge geltend machen, trifft daher nicht zu. Nicht entscheidend ist zudem, ob die Veranlagungsbehörde der Mutter die Kinderabzüge tatsächlich gewährt hat. Gemäss Angaben des Beschwerdeführers erfolgte die Gewährung der Kinderabzüge bei der quellenbesteuerten Mutter unter Anwendung des entsprechenden Tarifs. Selbst wenn ihr die Kinderabzüge nicht gewährt worden wären, folgte daraus nicht, dass die Abzüge ohne Erfüllung der gesetzlichen Voraussetzungen nunmehr einfach dem Vater zugestanden werden könnten.</w:t>
      </w:r>
    </w:p>
    <w:p>
      <w:r>
        <w:rPr>
          <w:b/>
        </w:rPr>
        <w:t>E. 5.2</w:t>
      </w:r>
    </w:p>
    <w:p>
      <w:r>
        <w:t>Die Vorinstanz hat in ihrem Entscheid unter Verweis auf Art. 48 Abs. 1 lit. a Ziff. 2 StG ausgeführt, die vorliegende Konstellation, wo die gemeinsam sorgeberechtigen Eltern die alternierende Obhut innehätten und ein Elternteil zusätzlich Unterhaltsbeiträge leiste, werde im StG nicht geregelt. Mit dem VII. Nachtrag vom 16. Juni 2009 wurden indessen nicht nur die Kinderabzüge erhöht, sondern auch Art. 48 Abs. 1 lit. a al. 2 Satz 1 StG neu eingeführt, der den Kinderabzug für Kinder unter gemeinsamer elterlicher Sorge nicht gemeinsam besteuerter Eltern regelt und somit auf den vorliegenden Fall anzuwenden ist. Der Kinderabzug kommt in dieser Konstellation jenem Elternteil zu, der für das Kind Unterhaltsbeiträge nach Art. 45 lit. c StG erhält, was vorliegend die Mutter ist. Das StG statuiert damit bei gemeinsamer elterlicher Sorge ausdrücklich das Kumulationsverbot. Der Wortlaut der gesetzlichen Regelung ist klar und lässt keinen Raum für eine Auslegung. Bereits seit der Einführung des neuen Scheidungsrechts am 1. Januar 2000 und damit auch im Zeitpunkt des Inkrafttretens von Art. 48 Abs. 1 lit. a al. 2 StG am 1. Januar 2010 bestand die Möglichkeit, Kinder nach der Scheidung unter der gemeinsamen elterlichen Sorge zu belassen und die Obhut alternierend auszuüben. Die Bestimmung von aArt. 133 Abs. 3 ZGB sah die gemeinsame elterliche Sorge für Fälle vor, in denen sich die Eltern in einer genehmigungsfähigen Vereinbarung über ihre Anteile an der Betreuung des Kindes und die Verteilung der Unterhaltskosten verständigt hatten, und es mit dem Kindeswohl vereinbar war. Seit 1. Juli 2014 stellt nun aber die gemeinsame elterliche Sorge nach der Scheidung nicht mehr den Ausnahme-, sondern den Regelfall dar (vgl. Art. 296 Abs. 2 und Art. 298a Abs. 1 ZGB). Da das st. gallischen Steuerrecht jedoch bereits 2010 eine Bestimmung für den Kinderabzug bei gemeinsamer elterlicher Sorge eingeführt und dabei auf das Kriterium der Obhut verzichtet hatte, ergab sich aus der zivilrechtlichen Änderung zur gemeinsamen elterlichen Sorge per 1. Juli 2014 steuerrechtlich kein zusätzlicher Regelungsbedarf. Dasselbe gilt für die alternierende Obhut, die seit 1. Januar 2017 gestützt Art. 298 Abs. 2 ter ZGB als Möglichkeit im Trennungsfall zu prüfen ist, wenn ein Elternteil oder das Kind dies verlangt, zumal sie nicht als Regelfall im Gesetz verankert wurde. Mit der auf den 1. Januar 2017 in Kraft getretenen Änderung des ZGB wurde der Kindesunterhalt, der bisher aus Natural- und Barunterhalt bestand, um den sog. Betreuungsunterhalt ergänzt (Art. 276 Abs. 2 bzw. Art. 285 Abs. 2 ZGB). Grund für die Revision des Unterhaltsrechts war in erster Linie die Ungleichbehandlung von Kindern verheirateter und unverheirateter Eltern. Mit dem neu eingeführten Betreuungsunterhalt werden die indirekten Kosten abgegolten, welche einem Elternteil dadurch entstehen, dass er aufgrund einer persönlichen Betreuung des Kindes davon abgehalten wird, durch Arbeitserwerb für seinen Lebensunterhalt aufzukommen. Die Lebenshaltungskosten des betreuenden Elternteils, die bereits im Rahmen des Betreuungsunterhalts einbezogen werden, sind im nachehelichen Unterhalt daher nicht mehr zu berücksichtigen. Für die Frage des Kinderabzugs ergab sich durch die Revision des Unterhaltsrechts kein Änderungsbedarf. Bereits zuvor hatten von Gesetzes wegen beide Elternteile für den Unterhalt des Kindes zu sorgen und die Kosten von Erziehung, Ausbildung und Kindesschutzmassnahmen zu tragen (vgl. aArt. 276 Abs. 1 ZGB). Der Unterhaltsbeitrag sollte den Bedürfnissen des Kindes sowie der Lebensstellung und Leistungsfähigkeit der Eltern entsprechen und ausserdem Vermögen und Einkünfte des Kindes sowie den Beitrag des nicht obhutsberechtigten Elternteils an der Betreuung des Kindes berücksichtigen (aArt. 285 ZGB). An der Verteilung der (finanziellen) Unterhaltslast (Barunterhalt) auf beide Elternteile hat sich – zumindest bei vormals verheirateten Eltern – nichts geändert. Auch unter Geltung des neuen Unterhaltsrechts leistet in einem Fall, wo das Kind ausschliesslich von einem Elternteil betreut wird, der andere Elternteil seinen Beitrag vornehmlich durch Geldzahlungen, und in einem Fall mit alternierender Obhut, die schon bisher möglich war, vom Gericht jedoch nicht geprüft werden musste, übernahmen bereits zuvor beide Elternteile die Betreuung des Kindes. Je nach konkretem Betreuungsanteil und wirtschaftlicher Leistungsfähigkeit wurden Unterhaltsbeiträge bezahlt oder eben auch nicht. Neu hinzugekommen ist indessen der Betreuungsunterhalt, was jedoch die steuerrechtliche Ausgangslage in Bezug auf den Kinderabzug nicht grundlegend verändert hat. Der Betreuungsunterhalt kann nämlich vom Leistenden zusammen mit dem Barunterhalt vollumfänglich von den Einkünften abgezogen werden und ist vom Empfänger zu besteuern. Steuerrechtlich handelt es sich beim Betreuungsunterhalt um Kinderunterhalt, obschon diese Leistungen wirtschaftlich betrachtet dem persönlich betreuenden Elternteil zukommen (Locher, a.a.O., N 36 zu Art. 33 DBG). Es findet folglich in noch höherem Masse eine Ressourcenverschiebung hin zum Empfänger der Unterhaltsleistungen statt. Unabhängig davon sind die selbst bezahlten Kosten des Kinderunterhalts als Lebenshaltungskosten nach wie vor steuerlich nicht zu berücksichtigen (vgl. Art. 45 Abs. 1 lit. c und Art. 47 StG). Generell gilt, dass all jene Aufwendungen und Kosten nicht abzugsfähig sind, die nicht ausdrücklich im Gesetz als abzugsfähig erklärt werden (Zigerlig/Oertli/Hofmann, a.a.O., S. 29). Hinzu kommt, dass Sozialabzüge als pauschalierte Abzüge konzipiert und von den tatsächlich getätigten Aufwendungen unabhängig sind. Dass in Art. 48 Abs. 1 lit. a al. 2 Satz 1 StG nicht auf das Kriterium der Betreuung bzw. (alterierenden) Obhut, sondern auf den Erhalt von Unterhaltsbeiträgen abgestellt wird und die übrigen erbrachten Leistungen ausser Acht gelassen werden, ist ein von den rechtsanwendenden Behörden und Gerichten zu respektierender Entscheid des Gesetzgebers. Auch die seit dessen Inkrafttreten im Jahr 2010 erwähnten zivilrechtlichen Änderungen führen nicht zu sachlich unhaltbaren Ergebnissen, zumal es um einen schematischen Sozialabzug geht. Es liegt jedenfalls keine echte, vom Richter zu füllende Lücke vor. Im Gegensatz zu Verwaltungsweisungen ist die gesetzliche Regelung für Behörden und Gerichte verbindlich. Wenn die Vorinstanz die Anknüpfung des Kinderabzugs an die Unterhaltszahlungen sodann mit dem Argument in Frage stellt, im Gegensatz zu früher bildeten Unterhaltszahlungen neurechtlich die eigentliche Ausnahme, trifft dies gerade auf den vorliegenden Sachverhalt, wo der Beschwerdegegner Unterhaltszahlungen leistet, nicht zu. Das im angefochtenen Entscheid beanstandete, vom Vater angeblich erfüllte Kriterium des Aufkommens "zur Hauptsache" und die dazu bestehende Rechtsprechung spielen vorliegend zudem keine Rolle. Darauf wäre nur abzustellen, wenn bei gemeinsamer elterlicher Sorge nicht gemeinsam besteuerter Eltern gar keine Unterhaltsbeiträge geleistet würden (vgl. Art. 48 Abs. 1 lit. a al. 2 Satz 2 StG), was hier nicht zutrifft. Ein halber Kinderabzug ist im kantonalen Recht sodann nirgends vorgesehen, weshalb eine solche Besteuerung von Vornherein nicht in Frage kommt, auch wenn damit insgesamt nicht mehr als ein Kinderabzug pro Kind gewährt würde. Der Sachverhalt ist auch nicht vergleichbar mit dem Beispiel A.2.4 in StB 48 Nr. 2, wo jeder Elternteil die Obhut eines von mehreren Kindern übernimmt, die anfallenden Kosten für dieses Kind trägt und keine Unterhaltszahlungen geleistet bzw. abgezogen werden. In der Lehre wird zuweilen kritisch hinterfragt, ob es richtig sei, in erster Linie die Bezahlung von Unterhaltsbeiträgen als Zuteilungskriterium für den Kinderabzug zu verwenden (Arndt/Bader, Steuer- und Familienrecht – wenn verflossene Liebe Steuern kostet, FamPra 2020 S. 664; H. Casanova, Recht und Unrecht in der Familienbesteuerung, ZSR 129 [2010] S. 210 f.; Locher, a.a.O., N 10 zu Art. 35 DBG). Unbestrittenermassen sind für Fälle, in denen es keine klare Trennung zwischen dem bezahlenden und dem betreuenden Elternteil gibt und damit eine Kombination von Unterhaltsbeiträgen und direkten eigenen Unterhaltsleistungen vorliegt, oder bei alternierender Obhut keinerlei Unterhaltsbeiträge geleistet werden, auch andere, differenziertere und allenfalls ausgewogenere Möglichkeiten im Hinblick auf den Kinderabzug denkbar, wie beispielsweise eine Halbierung desselben. Die heute geltende gesetzliche Regelung gewichtet die Entrichtung von Unterhaltsbeiträgen jedoch stärker als die Leistung von Arbeit. Bis jetzt hat der st. gallische Gesetzgeber darauf verzichtet, bei der Gewährung des Kinderabzugs auf den Betreuungsumfang abzustellen, wohl nicht zuletzt aus Praktikabilitätsgründen, wie sie im Bereich von Sozialabzügen häufig zum Tragen kommen. Aufgrund der notwendigerweise schematischen Typisierung wird nicht auf die im Einzelfall tatsächlichen Aufwendungen abgestellt, was nicht gegen die Grundsätze der rechtsgleichen Besteuerung und der Besteuerung nach der wirtschaftlichen Leistungsfähigkeit verstösst. Eine von den heute geltenden, klaren gesetzlichen Bestimmungen abweichende Besteuerung kann nicht in und von der Praxis entwickelt werden. Dies ist vielmehr eine im Rahmen der Gesetzgebung zu klärende steuer- und sozialpolitische Frage. Auch eine als unangemessen oder unausgewogen empfundene Besteuerung führt zu keinem anderen Ergebnis, da es dem Richter verwehrt ist, unechte (rechtspolitische) Lücken zu füllen. Das von der Vorinstanz anvisierte Ziel einer gerechteren Besteuerung lässt sich hier jedenfalls nicht durch die Aufhebung bzw. Nichtanwendung von Be-stimmungen im Rahmen einer konkreten Normenkontrolle erreichen, sondern nur durch Gesetzesänderung. Im Bereich der richterlichen Rechtsfortbildung und Gesetzeskorrektur ist Zurückhaltung zu üben und nicht von einem einzelfallbezogenen induktiven Lösungsansatz auszugehen (vgl. zum Ganzen Bosshard/Bosshard/Lüdin, a.a.O., S. 43 ff., sowie BGE 110 Ia 7 E. 6).</w:t>
      </w:r>
    </w:p>
    <w:p>
      <w:r>
        <w:rPr>
          <w:b/>
        </w:rPr>
        <w:t>E. 5.2.1</w:t>
      </w:r>
    </w:p>
    <w:p>
      <w:r>
        <w:t>Da der Beschwerdegegner im Jahr 2020 nach Art. 45 Abs. 1 lit. c StG abzugsfähige Beiträge an den Unterhalt der Töchter C.__ und D.__ in der Höhe von CHF 19'158 geleistet hat, stehen ihm keine (hälftigen) Kinder- und Versicherungsabzüge zu. Die Mutter als Empfängerin der Unterhaltsbeiträge trug steuerrechtlich betrachtet die Kosten des Kindesunterhalts, weshalb ihr nach Art. 48 Abs. 1 lit. a al. 2 Satz 1 StG die Kinderabzüge zukommen. Damit einhergehend hat der Beschwerdegegner auch keinen Anspruch auf den Vollsplittingtarif. Die Beschwerde betreffend die Kantons- und Gemeindesteuern 2020 ist folglich gutzuheissen.</w:t>
      </w:r>
    </w:p>
    <w:p>
      <w:r>
        <w:rPr>
          <w:b/>
        </w:rPr>
        <w:t>E. 5.3</w:t>
      </w:r>
    </w:p>
    <w:p>
      <w:r>
        <w:t>Gemäss gefestigter Rechtsprechung des Bundesgerichts (vgl. BGer 2C_905/2017 vom 11. März 2019 E. 2.1.2 und 2.2) steht der Abzug von Unterhaltsbeiträgen der Gewährung eines Kinderabzugs auch bei der direkten Bundessteuer entgegen, weil der Beschwerdegegner in der Steuerperiode 2020 Unterhaltszahlungen leistete, die er nach Art. 33 Abs. 1 lit. c DBG abziehen konnte. Wer Unterhaltsbeiträge für Kinder leistet und diese von seinen steuerbaren Einkünften abzieht, trägt steuerlich betrachtet keine Kosten des Kinderunterhalts; der Empfänger hat diese zu versteuern und trägt somit die Kosten des Kinderunterhalts. Diese Umverteilung der Ressourcen führt dazu, dass der Beschwerdegegner keinen Anspruch auf den Kinderabzug hat. Es gilt das Kumulationsverbot. Zudem sieht Art. 35 Abs. 1 lit. a DBG die hälftige Aufteilung des Kinderabzugs bei gemeinsamer elterlicher Sorge ausdrücklich nur in jenen Fällen vor, wo keine Unterhaltsbeiträge geleistet werden, was vorliegend unbestrittenermassen nicht zutrifft. Der klare Wortlaut von Art. 35 Abs. 1 lit. a DBG zielt nicht am wahren Sinn der Regelung und am Willen des Gesetzgebers vorbei (BGer 2C_533/2021 vom 23. Juni 2022 E. 6.4). Eine parlamentarische Initiative (16.406 Nantermod "Alternierende Obhut, Aufteilung des Kinderabzugs zwischen den Eltern") kritisierte die bestehende gesetzliche Regelung, bei welcher bei alternierender Obhut mit Leistung von Unterhaltsbeiträgen kein hälftiger Abzug möglich ist. Der Nationalrat lehnte die Initiative jedoch am 6. Juni 2017 ab. Der Gesetzgeber hat somit im Bewusstsein der in Frage stehenden Problematik auf eine Änderung beim Kinderabzug verzichtet. Eine echte Lücke liegt damit nicht vor. Der durch die Bezahlung von Unterhaltsbeiträgen geschaffene Status ist somit entscheidend, während der Umfang der Betreuung keine Rolle spielt. Weder die gemeinsame elterliche Sorge noch die alternierende Obhut haben Auswirkungen auf die im DBG vorgesehenen sozialen Steuerentlastungen. Die direkten Unterhaltskosten, für die der Unterhaltsbeiträge schuldende Elternteil während der alternierenden Obhut aufkommt, sind nicht Gegenstand besonderer Sozialabzüge (BGE 133 II 305 E. 8.2 und 8.4). Nach Art. 190 BV haben Gerichte auch nicht verfassungskonforme Bundesgesetze anzuwenden (sog. Anwendungsgebot). Sie können höchstens eine verfassungskonforme Auslegung vornehmen, wenn die anderen Auslegungsmethoden einen Zweifel am Sinn der Norm bestehen lassen. Allerdings findet die verfassungskonforme Auslegung – selbst bei festgestellter Verfassungswidrigkeit, was vorliegend aber offenkundig nicht der Fall ist – im klaren Wortlaut und Sinn einer Gesetzesbestimmung ihre Schranke (BGE 131 II 710 E. 4.1). Gemäss Bundesgericht ist eine vom klaren Wortlaut abweichende Auslegung in diesem Bereich nicht zulässig. Mögliche Ungleichheiten kann nur der Bundesgesetzgeber korrigieren (BGE 133 II 305 E. 9.1 und 9.2).</w:t>
      </w:r>
    </w:p>
    <w:p>
      <w:r>
        <w:rPr>
          <w:b/>
        </w:rPr>
        <w:t>E. 5.3.1</w:t>
      </w:r>
    </w:p>
    <w:p>
      <w:r>
        <w:t>Da der Beschwerdegegner im Jahr 2020 abzugsfähige Beiträge an den Unterhalt der Töchter C.__ und D.__ in der Höhe von CHF 19'158 geleistet hat, stehen ihm keine (hälftigen) Kinder- und Versicherungsabzüge zu. Steuerrechtlich betrachtet sorgte die Mutter für den Kindesunterhalt, weshalb ihr die Kinder- und Versicherungsabzüge wie auch der Elterntarif zu gewähren sind. Die Beschwerde betreffend die direkte Bundessteuer 2020 ist somit ebenfalls gutzuheissen.</w:t>
      </w:r>
    </w:p>
    <w:p>
      <w:r>
        <w:rPr>
          <w:b/>
        </w:rPr>
        <w:t>E. 5.4</w:t>
      </w:r>
    </w:p>
    <w:p>
      <w:r>
        <w:t>Auch das Vorbringen, dass der Beschwerdegegner nicht in der Lage sei, die geschuldeten Steuern zu begleichen, rechtfertigt kein Abweichen vom klaren Gesetzeswortlaut. Die Ursache dafür, dass der Beschwerdegegner die für 2020 geschuldeten Steuern allenfalls nicht vollumfänglich wird bezahlen können, liegt nicht primär in der verweigerten Gewährung des Kinderabzugs, sondern rührt von der zivilrechtlichen Berechnung der Kinderunterhaltsbeiträge her. Mangels hinreichender finanzieller Mittel wurde dort auf das betreibungsrechtliche Existenzminimum des Beschwerdegegners abgestellt und ihm folglich keine Steuern angerechnet. Der Grundsatz der Besteuerung nach der wirtschaftlichen Leistungsfähigkeit garantiert keine Befreiung desjenigen Teils des Einkommens, welcher zur Deckung des Existenzminimums dient. Es ist dem Gesetzgeber überlassen, auf welche Weise er das Recht auf Existenzsicherung gewährleisten möchte, sei dies durch Festlegung des Steuertarifs oder von Steuerfreibeträgen und Abzügen oder im Einzelfall mittels Gewährung von Steuererlassen. Die Sicherung des existenznotwendigen Bedarfs wird sodann bereits durch das Betreibungsrecht erfüllt; auch für Steuerforderungen gilt die Pfändungsbeschränkung nach Art. 93 des Bundesgesetzes über Schuldbetreibung und Konkurs (SR 281.1, SchKG; vgl. dazu BGE 122 I 105 E. 3). In solchen Fällen besteht die Möglichkeit, wegen Vorliegens einer Notlage ein Erlassgesuch zu stellen.</w:t>
      </w:r>
    </w:p>
    <w:p>
      <w:r>
        <w:rPr>
          <w:b/>
        </w:rPr>
        <w:t>E. 6</w:t>
      </w:r>
    </w:p>
    <w:p>
      <w:r>
        <w:t>Zusammenfassend sind die Beschwerden somit gutzuheissen, der angefochtene Rekurs- und der Beschwerdeentscheid der Vorinstanz vom 17. Oktober 2022 aufzuheben und die Einsprache-Entscheide des Beschwerdeführers vom 17. September 2021 betreffend die Kantons- und Gemeindesteuern 2020 und die direkte Bundessteuer 2020 zu bestätigen.</w:t>
      </w:r>
    </w:p>
    <w:p>
      <w:r>
        <w:rPr>
          <w:b/>
        </w:rPr>
        <w:t>E. 7.1</w:t>
      </w:r>
    </w:p>
    <w:p>
      <w:r>
        <w:t>In Streitigkeiten hat jener Beteiligte die Kosten zu tragen, dessen Begehren ganz oder teilweise abgewiesen werden (Art. 95 Abs. 1 VRP; Art. 145 in Verbindung mit Art. 144 Abs. 1 DBG). Die amtlichen Kosten der Beschwerdeverfahren sind somit dem Beschwerdegegner aufzuerlegen. Entscheidgebühren von CHF 1'800 für das Verfahren betreffend Kantons- und Gemeindesteuern sowie CHF 1'200 für das Verfahren betreffend direkte Bundessteuer erscheinen angemessen (Art. 7 Ziff. 222 der Gerichtskostenverordnung; sGS 941.12; Art. 145 in Verbindung mit Art. 144 Abs. 5 DBG). Nachdem die Vorinstanz im angefochtenen Entscheid vom 17. Oktober 2022 eine Änderung ihrer Rechtsprechung vornahm (vgl. act. 4), welche nunmehr vom Verwaltungsgericht nicht bestätigt wird, rechtfertigt es sich, in den vorliegenden Beschwerdeverfahren auf die Erhebung von amtlichen Kosten ausnahmsweise zu verzichten (Art. 97 VRP).</w:t>
      </w:r>
    </w:p>
    <w:p>
      <w:r>
        <w:rPr>
          <w:b/>
        </w:rPr>
        <w:t>E. 7.2</w:t>
      </w:r>
    </w:p>
    <w:p>
      <w:r>
        <w:t>Bei Gutheissung eines Rechtsmittels ist gleichzeitig von Amtes wegen über die amtlichen Kosten des vorinstanzlichen Verfahrens zu entscheiden. Die amtlichen Kosten für das Rekurs- und das Beschwerdeverfahren vor der Vorinstanz von je CHF 800 (total somit CHF 1'600) gehen zufolge Unterliegens vollumfänglich zulasten des Beschwerdegegners (Art. 95 Abs. 1 VRP). Diesem wurde mit Präsidialverfügung der Vorinstanz vom 29. November 2021 die unentgeltliche Rechtspflege gewährt (vgl. ZV-2021/59, act. 5/4.4), weshalb auf die Erhebung der amtlichen Kosten zu verzichten ist (Art. 97 VRP).</w:t>
      </w:r>
    </w:p>
    <w:p>
      <w:r>
        <w:rPr>
          <w:b/>
        </w:rPr>
        <w:t>E. 7.3</w:t>
      </w:r>
    </w:p>
    <w:p>
      <w:r>
        <w:t>Der Beschwerdeführer hat einen Entschädigungsantrag gestellt. Das Gemeinwesen hat indessen keinen Anspruch auf eine ausseramtliche Entschädigung (Art. 98 Abs. 1 VRP in Verbindung mit Art. 98 bis VRP; Linder, in: Rizvi/Schindler/Cavelti [Hrsg.], Gesetz über die Verwaltungsrechtspflege, Praxiskommentar, Zürich/St. Gallen 2020, N 20 zu Art. 98 bis VRP). Demnach erkennt das Verwaltungsgericht auf dem Zirkulationsweg zu Recht: Die Beschwerdeverfahren B 2022/200 und B 2022/201 werden vereinigt. Die Beschwerde B 2022/200 betreffend die Kantons- und Gemeindesteuern 2020 wird unter Aufhebung des Rekursentscheids der Verwaltungsrekurskommission vom 17. Oktober 2022 gutgeheissen und der Einsprache-Entscheid des Kantonalen Steueramts vom 17. September 2021 bestätigt. Die Beschwerde B 2022/201 betreffend die direkte Bundessteuer 2020 wird unter Aufhebung des Beschwerdeentscheids der Verwaltungsrekurskommission vom 17. Oktober 2022 gutheissen und der Einsprache-Entscheid des Kantonalen Steueramts vom 17. September 2021 bestätigt. Die amtlichen Kosten der vereinigten Beschwerdeverfahren von insgesamt CHF 3'000 (CHF 1'800, Kantons- und Gemeindesteuer, und CHF 1'200, direkte Bundessteuer) werden dem Beschwerdegegner auferlegt. Auf die Erhebung wird verzichtet. Die amtlichen Kosten des vorinstanzlichen Rekurs- und des Beschwerdeverfahrens von je CHF 800 (total CHF 1'600) werden dem Beschwerdegegner auferlegt. Auf die Erhebung wird verzichtet.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